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09026" w14:textId="77777777" w:rsidR="000A33AF" w:rsidRPr="000A33AF" w:rsidRDefault="000A33AF" w:rsidP="000A33AF">
      <w:pPr>
        <w:autoSpaceDE w:val="0"/>
        <w:autoSpaceDN w:val="0"/>
        <w:adjustRightInd w:val="0"/>
        <w:spacing w:after="0" w:line="240" w:lineRule="auto"/>
        <w:jc w:val="center"/>
        <w:rPr>
          <w:rFonts w:ascii="Times New Roman" w:hAnsi="Times New Roman" w:cs="Times New Roman"/>
          <w:b/>
          <w:bCs/>
          <w:sz w:val="28"/>
          <w:szCs w:val="28"/>
        </w:rPr>
      </w:pPr>
      <w:r w:rsidRPr="000A33AF">
        <w:rPr>
          <w:rFonts w:ascii="Times New Roman" w:hAnsi="Times New Roman" w:cs="Times New Roman"/>
          <w:b/>
          <w:bCs/>
          <w:sz w:val="28"/>
          <w:szCs w:val="28"/>
        </w:rPr>
        <w:t>П. 19 п.п. «и»</w:t>
      </w:r>
    </w:p>
    <w:p w14:paraId="5646D6C6" w14:textId="77777777" w:rsidR="000A33AF" w:rsidRPr="000A33AF" w:rsidRDefault="000A33AF" w:rsidP="000A33AF">
      <w:pPr>
        <w:autoSpaceDE w:val="0"/>
        <w:autoSpaceDN w:val="0"/>
        <w:adjustRightInd w:val="0"/>
        <w:spacing w:after="0" w:line="240" w:lineRule="auto"/>
        <w:jc w:val="center"/>
        <w:rPr>
          <w:rFonts w:ascii="Times New Roman" w:hAnsi="Times New Roman" w:cs="Times New Roman"/>
          <w:b/>
          <w:bCs/>
          <w:sz w:val="28"/>
          <w:szCs w:val="28"/>
        </w:rPr>
      </w:pPr>
      <w:r w:rsidRPr="000A33AF">
        <w:rPr>
          <w:rFonts w:ascii="Times New Roman" w:hAnsi="Times New Roman" w:cs="Times New Roman"/>
          <w:b/>
          <w:bCs/>
          <w:sz w:val="28"/>
          <w:szCs w:val="28"/>
        </w:rPr>
        <w:t>Информация о порядке выполнения технологических, технических и других мероприятий, связанных с технологическим присоединением к электрическим сетям, включая перечень мероприятий, необходимых для осуществления технологического присоединения к электрическим сетям, и порядок выполнения этих мероприятий с указанием ссылок на нормативные правовые акты</w:t>
      </w:r>
    </w:p>
    <w:p w14:paraId="76AA4304" w14:textId="77777777" w:rsidR="000A33AF" w:rsidRDefault="000A33AF" w:rsidP="000A33AF">
      <w:pPr>
        <w:spacing w:after="0" w:line="240" w:lineRule="auto"/>
        <w:rPr>
          <w:rFonts w:ascii="Arial" w:eastAsia="Times New Roman" w:hAnsi="Arial" w:cs="Arial"/>
          <w:color w:val="434343"/>
          <w:sz w:val="24"/>
          <w:szCs w:val="24"/>
          <w:shd w:val="clear" w:color="auto" w:fill="FFFFFF"/>
          <w:lang w:eastAsia="ru-RU"/>
        </w:rPr>
      </w:pPr>
    </w:p>
    <w:p w14:paraId="7CD9EF87" w14:textId="77777777" w:rsidR="000A33AF" w:rsidRPr="000A33AF" w:rsidRDefault="000A33AF" w:rsidP="000A33AF">
      <w:pPr>
        <w:tabs>
          <w:tab w:val="left" w:pos="1134"/>
        </w:tabs>
        <w:spacing w:after="0"/>
        <w:ind w:firstLine="709"/>
        <w:jc w:val="both"/>
        <w:rPr>
          <w:rFonts w:ascii="Times New Roman" w:eastAsia="Times New Roman" w:hAnsi="Times New Roman" w:cs="Times New Roman"/>
          <w:sz w:val="24"/>
          <w:szCs w:val="24"/>
          <w:shd w:val="clear" w:color="auto" w:fill="FFFFFF"/>
          <w:lang w:eastAsia="ru-RU"/>
        </w:rPr>
      </w:pPr>
      <w:r w:rsidRPr="000A33AF">
        <w:rPr>
          <w:rFonts w:ascii="Times New Roman" w:eastAsia="Times New Roman" w:hAnsi="Times New Roman" w:cs="Times New Roman"/>
          <w:sz w:val="24"/>
          <w:szCs w:val="24"/>
          <w:shd w:val="clear" w:color="auto" w:fill="FFFFFF"/>
          <w:lang w:eastAsia="ru-RU"/>
        </w:rPr>
        <w:t>Технологическое присоединение – это комплекс мероприятий, осуществляемый для подключения энергооборудования юридических и физических лиц к электрическим сетям</w:t>
      </w:r>
    </w:p>
    <w:p w14:paraId="4FC710A4" w14:textId="77777777" w:rsidR="000A33AF" w:rsidRPr="000A33AF" w:rsidRDefault="000A33AF" w:rsidP="000A33AF">
      <w:pPr>
        <w:tabs>
          <w:tab w:val="left" w:pos="1134"/>
        </w:tabs>
        <w:spacing w:after="0"/>
        <w:ind w:firstLine="709"/>
        <w:jc w:val="both"/>
        <w:rPr>
          <w:rFonts w:ascii="Times New Roman" w:hAnsi="Times New Roman" w:cs="Times New Roman"/>
          <w:sz w:val="24"/>
          <w:szCs w:val="24"/>
        </w:rPr>
      </w:pPr>
      <w:r w:rsidRPr="000A33AF">
        <w:rPr>
          <w:rFonts w:ascii="Times New Roman" w:hAnsi="Times New Roman" w:cs="Times New Roman"/>
          <w:sz w:val="24"/>
          <w:szCs w:val="24"/>
        </w:rPr>
        <w:t xml:space="preserve">Порядок технологического присоединения энергопринимающих устройств определен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г. № 861 (далее – Правила). </w:t>
      </w:r>
    </w:p>
    <w:p w14:paraId="22D6547F" w14:textId="77777777" w:rsidR="000A33AF" w:rsidRPr="000A33AF" w:rsidRDefault="000A33AF" w:rsidP="000A33AF">
      <w:pPr>
        <w:tabs>
          <w:tab w:val="left" w:pos="1134"/>
        </w:tabs>
        <w:spacing w:after="0"/>
        <w:ind w:firstLine="709"/>
        <w:jc w:val="both"/>
        <w:rPr>
          <w:rFonts w:ascii="Times New Roman" w:eastAsia="Times New Roman" w:hAnsi="Times New Roman" w:cs="Times New Roman"/>
          <w:sz w:val="24"/>
          <w:szCs w:val="24"/>
          <w:lang w:eastAsia="ru-RU"/>
        </w:rPr>
      </w:pPr>
      <w:r w:rsidRPr="000A33AF">
        <w:rPr>
          <w:rFonts w:ascii="Times New Roman" w:eastAsia="Times New Roman" w:hAnsi="Times New Roman" w:cs="Times New Roman"/>
          <w:sz w:val="24"/>
          <w:szCs w:val="24"/>
          <w:shd w:val="clear" w:color="auto" w:fill="FFFFFF"/>
          <w:lang w:eastAsia="ru-RU"/>
        </w:rPr>
        <w:t>Соблюдение процедуры технологического присоединения к электрическим сетям, обязательно в отношении электроустановок Заявителей:</w:t>
      </w:r>
    </w:p>
    <w:p w14:paraId="13745BB7" w14:textId="77777777" w:rsidR="000A33AF" w:rsidRPr="000A33AF" w:rsidRDefault="000A33AF" w:rsidP="000A33AF">
      <w:pPr>
        <w:numPr>
          <w:ilvl w:val="0"/>
          <w:numId w:val="2"/>
        </w:numPr>
        <w:shd w:val="clear" w:color="auto" w:fill="FFFFFF"/>
        <w:tabs>
          <w:tab w:val="left" w:pos="1134"/>
        </w:tabs>
        <w:spacing w:after="100" w:afterAutospacing="1"/>
        <w:ind w:left="0" w:firstLine="709"/>
        <w:jc w:val="both"/>
        <w:rPr>
          <w:rFonts w:ascii="Times New Roman" w:eastAsia="Times New Roman" w:hAnsi="Times New Roman" w:cs="Times New Roman"/>
          <w:sz w:val="24"/>
          <w:szCs w:val="24"/>
          <w:lang w:eastAsia="ru-RU"/>
        </w:rPr>
      </w:pPr>
      <w:r w:rsidRPr="000A33AF">
        <w:rPr>
          <w:rFonts w:ascii="Times New Roman" w:eastAsia="Times New Roman" w:hAnsi="Times New Roman" w:cs="Times New Roman"/>
          <w:sz w:val="24"/>
          <w:szCs w:val="24"/>
          <w:lang w:eastAsia="ru-RU"/>
        </w:rPr>
        <w:t>впервые вводимых в эксплуатацию;</w:t>
      </w:r>
    </w:p>
    <w:p w14:paraId="71EF2B35" w14:textId="77777777" w:rsidR="000A33AF" w:rsidRPr="000A33AF" w:rsidRDefault="000A33AF" w:rsidP="000A33AF">
      <w:pPr>
        <w:numPr>
          <w:ilvl w:val="0"/>
          <w:numId w:val="2"/>
        </w:numPr>
        <w:shd w:val="clear" w:color="auto" w:fill="FFFFFF"/>
        <w:tabs>
          <w:tab w:val="left" w:pos="1134"/>
        </w:tabs>
        <w:spacing w:before="100" w:beforeAutospacing="1" w:after="100" w:afterAutospacing="1"/>
        <w:ind w:left="0" w:firstLine="709"/>
        <w:jc w:val="both"/>
        <w:rPr>
          <w:rFonts w:ascii="Times New Roman" w:eastAsia="Times New Roman" w:hAnsi="Times New Roman" w:cs="Times New Roman"/>
          <w:sz w:val="24"/>
          <w:szCs w:val="24"/>
          <w:lang w:eastAsia="ru-RU"/>
        </w:rPr>
      </w:pPr>
      <w:r w:rsidRPr="000A33AF">
        <w:rPr>
          <w:rFonts w:ascii="Times New Roman" w:eastAsia="Times New Roman" w:hAnsi="Times New Roman" w:cs="Times New Roman"/>
          <w:sz w:val="24"/>
          <w:szCs w:val="24"/>
          <w:lang w:eastAsia="ru-RU"/>
        </w:rPr>
        <w:t>ранее присоединенных реконструируемых энергопринимающих устройств, присоединенная мощность которых увеличивается;</w:t>
      </w:r>
    </w:p>
    <w:p w14:paraId="7F598523" w14:textId="77777777" w:rsidR="000A33AF" w:rsidRPr="000A33AF" w:rsidRDefault="000A33AF" w:rsidP="000A33AF">
      <w:pPr>
        <w:numPr>
          <w:ilvl w:val="0"/>
          <w:numId w:val="2"/>
        </w:numPr>
        <w:shd w:val="clear" w:color="auto" w:fill="FFFFFF"/>
        <w:tabs>
          <w:tab w:val="left" w:pos="1134"/>
        </w:tabs>
        <w:spacing w:before="100" w:beforeAutospacing="1" w:after="100" w:afterAutospacing="1"/>
        <w:ind w:left="0" w:firstLine="709"/>
        <w:jc w:val="both"/>
        <w:rPr>
          <w:rFonts w:ascii="Times New Roman" w:eastAsia="Times New Roman" w:hAnsi="Times New Roman" w:cs="Times New Roman"/>
          <w:sz w:val="24"/>
          <w:szCs w:val="24"/>
          <w:lang w:eastAsia="ru-RU"/>
        </w:rPr>
      </w:pPr>
      <w:r w:rsidRPr="000A33AF">
        <w:rPr>
          <w:rFonts w:ascii="Times New Roman" w:eastAsia="Times New Roman" w:hAnsi="Times New Roman" w:cs="Times New Roman"/>
          <w:sz w:val="24"/>
          <w:szCs w:val="24"/>
          <w:lang w:eastAsia="ru-RU"/>
        </w:rPr>
        <w:t>ранее присоединенных реконструируемых энергопринимающих устройств при изменении категории надежности, при изменении точки присоединения, при изменении видов производственной деятельности, не влекущих пересмотра величины присоединенной мощности, но изменяющих схему внешнего электроснабжения таких энергопринимающих устройств.</w:t>
      </w:r>
    </w:p>
    <w:p w14:paraId="28559DB5" w14:textId="77777777" w:rsidR="000A33AF" w:rsidRPr="000A33AF" w:rsidRDefault="000A33AF" w:rsidP="000A33AF">
      <w:pPr>
        <w:tabs>
          <w:tab w:val="left" w:pos="1134"/>
        </w:tabs>
        <w:spacing w:after="0"/>
        <w:ind w:firstLine="709"/>
        <w:jc w:val="both"/>
        <w:rPr>
          <w:rFonts w:ascii="Times New Roman" w:hAnsi="Times New Roman" w:cs="Times New Roman"/>
          <w:sz w:val="24"/>
          <w:szCs w:val="24"/>
        </w:rPr>
      </w:pPr>
      <w:r w:rsidRPr="000A33AF">
        <w:rPr>
          <w:rFonts w:ascii="Times New Roman" w:hAnsi="Times New Roman" w:cs="Times New Roman"/>
          <w:sz w:val="24"/>
          <w:szCs w:val="24"/>
        </w:rPr>
        <w:t xml:space="preserve">Технологическое присоединение представляет собой комплексную процедуру, этапами которой являются: </w:t>
      </w:r>
    </w:p>
    <w:p w14:paraId="778FE452" w14:textId="77777777" w:rsidR="000A33AF" w:rsidRPr="000A33AF" w:rsidRDefault="000A33AF" w:rsidP="000A33AF">
      <w:pPr>
        <w:pStyle w:val="a3"/>
        <w:numPr>
          <w:ilvl w:val="0"/>
          <w:numId w:val="3"/>
        </w:numPr>
        <w:tabs>
          <w:tab w:val="left" w:pos="1134"/>
        </w:tabs>
        <w:spacing w:after="0"/>
        <w:ind w:left="0" w:firstLine="709"/>
        <w:jc w:val="both"/>
        <w:rPr>
          <w:rFonts w:ascii="Times New Roman" w:eastAsia="Times New Roman" w:hAnsi="Times New Roman" w:cs="Times New Roman"/>
          <w:sz w:val="24"/>
          <w:szCs w:val="24"/>
          <w:lang w:eastAsia="ru-RU"/>
        </w:rPr>
      </w:pPr>
      <w:r w:rsidRPr="000A33AF">
        <w:rPr>
          <w:rFonts w:ascii="Times New Roman" w:eastAsia="Times New Roman" w:hAnsi="Times New Roman" w:cs="Times New Roman"/>
          <w:sz w:val="24"/>
          <w:szCs w:val="24"/>
          <w:lang w:eastAsia="ru-RU"/>
        </w:rPr>
        <w:t>подготовка сетевой организацией технических условий и их согласование с системным оператором, а в случае выдачи технических условий электростанцией – согласование их с системным оператором и со смежными сетевыми организациями;</w:t>
      </w:r>
    </w:p>
    <w:p w14:paraId="66370723" w14:textId="77777777" w:rsidR="000A33AF" w:rsidRPr="000A33AF" w:rsidRDefault="000A33AF" w:rsidP="000A33AF">
      <w:pPr>
        <w:pStyle w:val="a3"/>
        <w:numPr>
          <w:ilvl w:val="0"/>
          <w:numId w:val="3"/>
        </w:numPr>
        <w:tabs>
          <w:tab w:val="left" w:pos="1134"/>
        </w:tabs>
        <w:spacing w:after="0"/>
        <w:ind w:left="0" w:firstLine="709"/>
        <w:jc w:val="both"/>
        <w:rPr>
          <w:rFonts w:ascii="Times New Roman" w:eastAsia="Times New Roman" w:hAnsi="Times New Roman" w:cs="Times New Roman"/>
          <w:sz w:val="24"/>
          <w:szCs w:val="24"/>
          <w:lang w:eastAsia="ru-RU"/>
        </w:rPr>
      </w:pPr>
      <w:r w:rsidRPr="000A33AF">
        <w:rPr>
          <w:rFonts w:ascii="Times New Roman" w:eastAsia="Times New Roman" w:hAnsi="Times New Roman" w:cs="Times New Roman"/>
          <w:sz w:val="24"/>
          <w:szCs w:val="24"/>
          <w:lang w:eastAsia="ru-RU"/>
        </w:rPr>
        <w:t>разработка сетевой организацией проектной документации согласно обязательствам, предусмотренным техническими условиями;</w:t>
      </w:r>
    </w:p>
    <w:p w14:paraId="6819B28A" w14:textId="77777777" w:rsidR="000A33AF" w:rsidRPr="000A33AF" w:rsidRDefault="000A33AF" w:rsidP="000A33AF">
      <w:pPr>
        <w:pStyle w:val="a3"/>
        <w:numPr>
          <w:ilvl w:val="0"/>
          <w:numId w:val="3"/>
        </w:numPr>
        <w:tabs>
          <w:tab w:val="left" w:pos="1134"/>
        </w:tabs>
        <w:spacing w:after="0"/>
        <w:ind w:left="0" w:firstLine="709"/>
        <w:jc w:val="both"/>
        <w:rPr>
          <w:rFonts w:ascii="Times New Roman" w:eastAsia="Times New Roman" w:hAnsi="Times New Roman" w:cs="Times New Roman"/>
          <w:sz w:val="24"/>
          <w:szCs w:val="24"/>
          <w:lang w:eastAsia="ru-RU"/>
        </w:rPr>
      </w:pPr>
      <w:r w:rsidRPr="000A33AF">
        <w:rPr>
          <w:rFonts w:ascii="Times New Roman" w:eastAsia="Times New Roman" w:hAnsi="Times New Roman" w:cs="Times New Roman"/>
          <w:sz w:val="24"/>
          <w:szCs w:val="24"/>
          <w:lang w:eastAsia="ru-RU"/>
        </w:rPr>
        <w:t>разработка заявителем проектной документации в границах его земельного участка, согласно обязательствам, предусмотренным техническими условиями;</w:t>
      </w:r>
    </w:p>
    <w:p w14:paraId="3CE33665" w14:textId="77777777" w:rsidR="000A33AF" w:rsidRPr="000A33AF" w:rsidRDefault="000A33AF" w:rsidP="000A33AF">
      <w:pPr>
        <w:pStyle w:val="a3"/>
        <w:numPr>
          <w:ilvl w:val="0"/>
          <w:numId w:val="3"/>
        </w:numPr>
        <w:tabs>
          <w:tab w:val="left" w:pos="1134"/>
        </w:tabs>
        <w:spacing w:after="0"/>
        <w:ind w:left="0" w:firstLine="709"/>
        <w:jc w:val="both"/>
        <w:rPr>
          <w:rFonts w:ascii="Times New Roman" w:eastAsia="Times New Roman" w:hAnsi="Times New Roman" w:cs="Times New Roman"/>
          <w:sz w:val="24"/>
          <w:szCs w:val="24"/>
          <w:lang w:eastAsia="ru-RU"/>
        </w:rPr>
      </w:pPr>
      <w:r w:rsidRPr="000A33AF">
        <w:rPr>
          <w:rFonts w:ascii="Times New Roman" w:eastAsia="Times New Roman" w:hAnsi="Times New Roman" w:cs="Times New Roman"/>
          <w:sz w:val="24"/>
          <w:szCs w:val="24"/>
          <w:lang w:eastAsia="ru-RU"/>
        </w:rPr>
        <w:t>выполнение технических условий заявителем и сетевой организацией, включая осуществление сетевой организацией мероприятий по подключению энергопринимающих устройств под действие аппаратуры противоаварийной и режимной автоматики в соответствии с техническими условиями;</w:t>
      </w:r>
    </w:p>
    <w:p w14:paraId="73AA877F" w14:textId="77777777" w:rsidR="000A33AF" w:rsidRPr="000A33AF" w:rsidRDefault="000A33AF" w:rsidP="000A33AF">
      <w:pPr>
        <w:pStyle w:val="a3"/>
        <w:numPr>
          <w:ilvl w:val="0"/>
          <w:numId w:val="3"/>
        </w:numPr>
        <w:tabs>
          <w:tab w:val="left" w:pos="1134"/>
        </w:tabs>
        <w:spacing w:after="0"/>
        <w:ind w:left="0" w:firstLine="709"/>
        <w:jc w:val="both"/>
        <w:rPr>
          <w:rFonts w:ascii="Times New Roman" w:eastAsia="Times New Roman" w:hAnsi="Times New Roman" w:cs="Times New Roman"/>
          <w:sz w:val="24"/>
          <w:szCs w:val="24"/>
          <w:lang w:eastAsia="ru-RU"/>
        </w:rPr>
      </w:pPr>
      <w:r w:rsidRPr="000A33AF">
        <w:rPr>
          <w:rFonts w:ascii="Times New Roman" w:eastAsia="Times New Roman" w:hAnsi="Times New Roman" w:cs="Times New Roman"/>
          <w:sz w:val="24"/>
          <w:szCs w:val="24"/>
          <w:lang w:eastAsia="ru-RU"/>
        </w:rPr>
        <w:t>проверку сетевой организацией выполнения заявителем технических условий;</w:t>
      </w:r>
    </w:p>
    <w:p w14:paraId="701D05ED" w14:textId="77777777" w:rsidR="000A33AF" w:rsidRPr="000A33AF" w:rsidRDefault="000A33AF" w:rsidP="000A33AF">
      <w:pPr>
        <w:pStyle w:val="a3"/>
        <w:numPr>
          <w:ilvl w:val="0"/>
          <w:numId w:val="3"/>
        </w:numPr>
        <w:tabs>
          <w:tab w:val="left" w:pos="1134"/>
        </w:tabs>
        <w:spacing w:after="0"/>
        <w:ind w:left="0" w:firstLine="709"/>
        <w:jc w:val="both"/>
        <w:rPr>
          <w:rFonts w:ascii="Times New Roman" w:eastAsia="Times New Roman" w:hAnsi="Times New Roman" w:cs="Times New Roman"/>
          <w:sz w:val="24"/>
          <w:szCs w:val="24"/>
          <w:lang w:eastAsia="ru-RU"/>
        </w:rPr>
      </w:pPr>
      <w:r w:rsidRPr="000A33AF">
        <w:rPr>
          <w:rFonts w:ascii="Times New Roman" w:eastAsia="Times New Roman" w:hAnsi="Times New Roman" w:cs="Times New Roman"/>
          <w:sz w:val="24"/>
          <w:szCs w:val="24"/>
          <w:lang w:eastAsia="ru-RU"/>
        </w:rPr>
        <w:t>осмотр (обследование) присоединяемых энергопринимающих устройств должностным лицом федерального органа исполнительной власти по технологическому надзору при участии сетевой организации и собственника таких устройств, а также соответствующего субъекта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w:t>
      </w:r>
    </w:p>
    <w:p w14:paraId="2479396E" w14:textId="77777777" w:rsidR="000A33AF" w:rsidRPr="000A33AF" w:rsidRDefault="000A33AF" w:rsidP="000A33AF">
      <w:pPr>
        <w:pStyle w:val="a3"/>
        <w:numPr>
          <w:ilvl w:val="0"/>
          <w:numId w:val="3"/>
        </w:numPr>
        <w:tabs>
          <w:tab w:val="left" w:pos="1134"/>
        </w:tabs>
        <w:spacing w:after="0"/>
        <w:ind w:left="0" w:firstLine="709"/>
        <w:jc w:val="both"/>
        <w:rPr>
          <w:rFonts w:ascii="Times New Roman" w:eastAsia="Times New Roman" w:hAnsi="Times New Roman" w:cs="Times New Roman"/>
          <w:sz w:val="24"/>
          <w:szCs w:val="24"/>
          <w:lang w:eastAsia="ru-RU"/>
        </w:rPr>
      </w:pPr>
      <w:r w:rsidRPr="000A33AF">
        <w:rPr>
          <w:rFonts w:ascii="Times New Roman" w:eastAsia="Times New Roman" w:hAnsi="Times New Roman" w:cs="Times New Roman"/>
          <w:sz w:val="24"/>
          <w:szCs w:val="24"/>
          <w:lang w:eastAsia="ru-RU"/>
        </w:rPr>
        <w:lastRenderedPageBreak/>
        <w:t>фактические действия по присоединению и обеспечению работы энергопринимающих устройств в электрической сети.</w:t>
      </w:r>
    </w:p>
    <w:sectPr w:rsidR="000A33AF" w:rsidRPr="000A33AF" w:rsidSect="00E51730">
      <w:pgSz w:w="11905" w:h="16838"/>
      <w:pgMar w:top="1134" w:right="850" w:bottom="283"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2681B"/>
    <w:multiLevelType w:val="multilevel"/>
    <w:tmpl w:val="35BE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60742C"/>
    <w:multiLevelType w:val="multilevel"/>
    <w:tmpl w:val="2628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CA3CE3"/>
    <w:multiLevelType w:val="hybridMultilevel"/>
    <w:tmpl w:val="B43E5B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3AF"/>
    <w:rsid w:val="000A33AF"/>
    <w:rsid w:val="005E21D3"/>
    <w:rsid w:val="00D11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65FDF"/>
  <w15:docId w15:val="{1B03FBE9-954F-415E-B119-218FE8C1A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21D3"/>
  </w:style>
  <w:style w:type="paragraph" w:styleId="2">
    <w:name w:val="heading 2"/>
    <w:basedOn w:val="a"/>
    <w:link w:val="20"/>
    <w:uiPriority w:val="9"/>
    <w:qFormat/>
    <w:rsid w:val="000A33A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A33AF"/>
    <w:rPr>
      <w:rFonts w:ascii="Times New Roman" w:eastAsia="Times New Roman" w:hAnsi="Times New Roman" w:cs="Times New Roman"/>
      <w:b/>
      <w:bCs/>
      <w:sz w:val="36"/>
      <w:szCs w:val="36"/>
      <w:lang w:eastAsia="ru-RU"/>
    </w:rPr>
  </w:style>
  <w:style w:type="paragraph" w:styleId="a3">
    <w:name w:val="List Paragraph"/>
    <w:basedOn w:val="a"/>
    <w:uiPriority w:val="34"/>
    <w:qFormat/>
    <w:rsid w:val="000A3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76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eludvig</dc:creator>
  <cp:keywords/>
  <dc:description/>
  <cp:lastModifiedBy>Людвиг Елизавета Борисовна</cp:lastModifiedBy>
  <cp:revision>2</cp:revision>
  <dcterms:created xsi:type="dcterms:W3CDTF">2024-02-07T23:04:00Z</dcterms:created>
  <dcterms:modified xsi:type="dcterms:W3CDTF">2024-02-07T23:04:00Z</dcterms:modified>
</cp:coreProperties>
</file>